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5B" w:rsidRPr="00A50775" w:rsidRDefault="0025415B" w:rsidP="0025415B">
      <w:pPr>
        <w:jc w:val="center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</w:rPr>
        <w:t>İŞ</w:t>
      </w:r>
      <w:r w:rsidR="00AE0D52">
        <w:rPr>
          <w:rFonts w:asciiTheme="majorBidi" w:hAnsiTheme="majorBidi" w:cstheme="majorBidi"/>
          <w:b/>
          <w:sz w:val="20"/>
          <w:szCs w:val="20"/>
        </w:rPr>
        <w:t xml:space="preserve">LETMEDE MESLEKİ EĞİTİM </w:t>
      </w:r>
      <w:bookmarkStart w:id="0" w:name="_GoBack"/>
      <w:bookmarkEnd w:id="0"/>
      <w:r w:rsidRPr="00A50775">
        <w:rPr>
          <w:rFonts w:asciiTheme="majorBidi" w:hAnsiTheme="majorBidi" w:cstheme="majorBidi"/>
          <w:b/>
          <w:sz w:val="20"/>
          <w:szCs w:val="20"/>
        </w:rPr>
        <w:t>PROTOKOLÜ</w:t>
      </w: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</w:rPr>
        <w:t>Taraflar</w:t>
      </w: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A50775">
        <w:rPr>
          <w:rFonts w:asciiTheme="majorBidi" w:hAnsiTheme="majorBidi" w:cstheme="majorBidi"/>
          <w:b/>
          <w:sz w:val="20"/>
          <w:szCs w:val="20"/>
          <w:u w:val="single"/>
        </w:rPr>
        <w:t xml:space="preserve">Madde 1 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>Bu protokol,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………………………………………………………………………………...……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A50775">
        <w:rPr>
          <w:rFonts w:asciiTheme="majorBidi" w:hAnsiTheme="majorBidi" w:cstheme="majorBidi"/>
          <w:sz w:val="20"/>
          <w:szCs w:val="20"/>
        </w:rPr>
        <w:t>ile</w:t>
      </w:r>
      <w:proofErr w:type="gramEnd"/>
      <w:r w:rsidRPr="00A50775">
        <w:rPr>
          <w:rFonts w:asciiTheme="majorBidi" w:hAnsiTheme="majorBidi" w:cstheme="majorBidi"/>
          <w:sz w:val="20"/>
          <w:szCs w:val="20"/>
        </w:rPr>
        <w:t xml:space="preserve"> </w:t>
      </w:r>
      <w:r w:rsidRPr="00641B3F">
        <w:rPr>
          <w:rFonts w:asciiTheme="majorBidi" w:hAnsiTheme="majorBidi" w:cstheme="majorBidi"/>
          <w:sz w:val="20"/>
          <w:szCs w:val="20"/>
        </w:rPr>
        <w:t>Isparta Uygulamalı Bilimler Üniversitesi</w:t>
      </w:r>
      <w:r w:rsidRPr="00A50775">
        <w:rPr>
          <w:rFonts w:asciiTheme="majorBidi" w:hAnsiTheme="majorBidi" w:cstheme="majorBidi"/>
          <w:sz w:val="20"/>
          <w:szCs w:val="20"/>
        </w:rPr>
        <w:t xml:space="preserve"> arasında  </w:t>
      </w:r>
      <w:r>
        <w:rPr>
          <w:rFonts w:asciiTheme="majorBidi" w:hAnsiTheme="majorBidi" w:cstheme="majorBidi"/>
          <w:sz w:val="20"/>
          <w:szCs w:val="20"/>
        </w:rPr>
        <w:t>...</w:t>
      </w:r>
      <w:r w:rsidRPr="00A50775">
        <w:rPr>
          <w:rFonts w:asciiTheme="majorBidi" w:hAnsiTheme="majorBidi" w:cstheme="majorBidi"/>
          <w:sz w:val="20"/>
          <w:szCs w:val="20"/>
        </w:rPr>
        <w:t>/</w:t>
      </w:r>
      <w:r>
        <w:rPr>
          <w:rFonts w:asciiTheme="majorBidi" w:hAnsiTheme="majorBidi" w:cstheme="majorBidi"/>
          <w:sz w:val="20"/>
          <w:szCs w:val="20"/>
        </w:rPr>
        <w:t>...</w:t>
      </w:r>
      <w:r w:rsidRPr="00A50775">
        <w:rPr>
          <w:rFonts w:asciiTheme="majorBidi" w:hAnsiTheme="majorBidi" w:cstheme="majorBidi"/>
          <w:sz w:val="20"/>
          <w:szCs w:val="20"/>
        </w:rPr>
        <w:t>/20</w:t>
      </w:r>
      <w:r>
        <w:rPr>
          <w:rFonts w:asciiTheme="majorBidi" w:hAnsiTheme="majorBidi" w:cstheme="majorBidi"/>
          <w:sz w:val="20"/>
          <w:szCs w:val="20"/>
        </w:rPr>
        <w:t>...</w:t>
      </w:r>
      <w:r w:rsidRPr="00A50775">
        <w:rPr>
          <w:rFonts w:asciiTheme="majorBidi" w:hAnsiTheme="majorBidi" w:cstheme="majorBidi"/>
          <w:sz w:val="20"/>
          <w:szCs w:val="20"/>
        </w:rPr>
        <w:t xml:space="preserve"> tarihinde imzalanmıştır.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</w:rPr>
        <w:t>Kapsam</w:t>
      </w: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  <w:u w:val="single"/>
        </w:rPr>
        <w:t>Madde 2</w:t>
      </w:r>
      <w:r w:rsidRPr="00A50775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 xml:space="preserve">Bu protokol, </w:t>
      </w:r>
      <w:r w:rsidRPr="00641B3F">
        <w:rPr>
          <w:rFonts w:asciiTheme="majorBidi" w:hAnsiTheme="majorBidi" w:cstheme="majorBidi"/>
          <w:sz w:val="20"/>
          <w:szCs w:val="20"/>
        </w:rPr>
        <w:t>Isparta Uygulamalı Bilimler Üniversitesi</w:t>
      </w:r>
      <w:r w:rsidRPr="00A50775">
        <w:rPr>
          <w:rFonts w:asciiTheme="majorBidi" w:hAnsiTheme="majorBidi" w:cstheme="majorBidi"/>
          <w:sz w:val="20"/>
          <w:szCs w:val="20"/>
        </w:rPr>
        <w:t xml:space="preserve"> bünyesindeki </w:t>
      </w:r>
      <w:proofErr w:type="spellStart"/>
      <w:r>
        <w:rPr>
          <w:rFonts w:asciiTheme="majorBidi" w:hAnsiTheme="majorBidi" w:cstheme="majorBidi"/>
          <w:sz w:val="20"/>
          <w:szCs w:val="20"/>
        </w:rPr>
        <w:t>önlisans</w:t>
      </w:r>
      <w:proofErr w:type="spellEnd"/>
      <w:r>
        <w:rPr>
          <w:rFonts w:asciiTheme="majorBidi" w:hAnsiTheme="majorBidi" w:cstheme="majorBidi"/>
          <w:sz w:val="20"/>
          <w:szCs w:val="20"/>
        </w:rPr>
        <w:t>/lisans</w:t>
      </w:r>
      <w:r w:rsidRPr="00A50775">
        <w:rPr>
          <w:rFonts w:asciiTheme="majorBidi" w:hAnsiTheme="majorBidi" w:cstheme="majorBidi"/>
          <w:sz w:val="20"/>
          <w:szCs w:val="20"/>
        </w:rPr>
        <w:t xml:space="preserve"> programlarına kayıtlı öğrencilerin</w:t>
      </w:r>
      <w:r>
        <w:rPr>
          <w:rFonts w:asciiTheme="majorBidi" w:hAnsiTheme="majorBidi" w:cstheme="majorBidi"/>
          <w:sz w:val="20"/>
          <w:szCs w:val="20"/>
        </w:rPr>
        <w:t>, 2547 sayılı kanun Ek Madde 23 kapsamında,</w:t>
      </w:r>
      <w:r w:rsidRPr="00A50775">
        <w:rPr>
          <w:rFonts w:asciiTheme="majorBidi" w:hAnsiTheme="majorBidi" w:cstheme="majorBidi"/>
          <w:sz w:val="20"/>
          <w:szCs w:val="20"/>
        </w:rPr>
        <w:t xml:space="preserve"> bir dönemlik eğitimlerini kamu veya özel sektör işyerlerinde İşyeri Eğitimi </w:t>
      </w:r>
      <w:r>
        <w:rPr>
          <w:rFonts w:asciiTheme="majorBidi" w:hAnsiTheme="majorBidi" w:cstheme="majorBidi"/>
          <w:sz w:val="20"/>
          <w:szCs w:val="20"/>
        </w:rPr>
        <w:t xml:space="preserve">Uygulamaları </w:t>
      </w:r>
      <w:r w:rsidRPr="00A50775">
        <w:rPr>
          <w:rFonts w:asciiTheme="majorBidi" w:hAnsiTheme="majorBidi" w:cstheme="majorBidi"/>
          <w:sz w:val="20"/>
          <w:szCs w:val="20"/>
        </w:rPr>
        <w:t>yaparak daha iyi yetiştirilmelerini esas alan kuralları içerir.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</w:rPr>
        <w:t>Yürürlük</w:t>
      </w: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  <w:u w:val="single"/>
        </w:rPr>
        <w:t>Madde 3</w:t>
      </w:r>
      <w:r w:rsidRPr="00A50775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>Bu protokolün hükümleri, protokolün imzalandığı tarihten itibaren ve aksi belirtilmediği müddetçe süresiz geçerlidir.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>Taraflar, 2 ay öncesinden yazılı bilgi vermek suretiyle İşyeri Eğitimi’ne kontenjan ayırmayı ve programın uygulanmasını sona erdirebilir.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</w:rPr>
        <w:t>İşyeri Eğitimi’nin Dönemi ve Süresi</w:t>
      </w: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  <w:u w:val="single"/>
        </w:rPr>
        <w:t>Madde 4</w:t>
      </w:r>
      <w:r w:rsidRPr="00A50775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>Öğrenciler işyeri eğitimlerini, son sınıfın GÜZ yarıyılında veya BAHAR yarıyılında gerçekleştirir. İşyeri Eğitimi’nin süresi 1 yarıyıldır.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</w:rPr>
        <w:t>İşyeri Eğitimi İçin Kontenjan Verilmesi ve Bu Kontenjanların Kullanılması</w:t>
      </w: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  <w:u w:val="single"/>
        </w:rPr>
        <w:t>Madde 5</w:t>
      </w:r>
      <w:r w:rsidRPr="00A50775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 xml:space="preserve">Kurum veya işyerleri, </w:t>
      </w:r>
      <w:r>
        <w:rPr>
          <w:rFonts w:asciiTheme="majorBidi" w:hAnsiTheme="majorBidi" w:cstheme="majorBidi"/>
          <w:sz w:val="20"/>
          <w:szCs w:val="20"/>
        </w:rPr>
        <w:t xml:space="preserve">bu protokol ekinde belirtilen program ve kontenjan sayıları </w:t>
      </w:r>
      <w:proofErr w:type="gramStart"/>
      <w:r>
        <w:rPr>
          <w:rFonts w:asciiTheme="majorBidi" w:hAnsiTheme="majorBidi" w:cstheme="majorBidi"/>
          <w:sz w:val="20"/>
          <w:szCs w:val="20"/>
        </w:rPr>
        <w:t>dahilinde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öğrenciye işyeri eğitimi vermeyi kabul ederler. İş yerleri her yarıyılın başında</w:t>
      </w:r>
      <w:r w:rsidRPr="00A50775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ilgili program ve kontenjan sayılarını ISUBÜ İşyeri Eğitim </w:t>
      </w:r>
      <w:proofErr w:type="spellStart"/>
      <w:r>
        <w:rPr>
          <w:rFonts w:asciiTheme="majorBidi" w:hAnsiTheme="majorBidi" w:cstheme="majorBidi"/>
          <w:sz w:val="20"/>
          <w:szCs w:val="20"/>
        </w:rPr>
        <w:t>Portalı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üzerinden güncelleyebilirler. 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</w:rPr>
        <w:t>Programın Yürütülmesi</w:t>
      </w: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  <w:u w:val="single"/>
        </w:rPr>
        <w:t>Madde 6</w:t>
      </w:r>
      <w:r w:rsidRPr="00A50775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25415B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>Kurumlar veya işyerlerinde bu programdan sorumlu olacak kişi</w:t>
      </w:r>
      <w:r>
        <w:rPr>
          <w:rFonts w:asciiTheme="majorBidi" w:hAnsiTheme="majorBidi" w:cstheme="majorBidi"/>
          <w:sz w:val="20"/>
          <w:szCs w:val="20"/>
        </w:rPr>
        <w:t>, varsa</w:t>
      </w:r>
      <w:r w:rsidRPr="00A50775">
        <w:rPr>
          <w:rFonts w:asciiTheme="majorBidi" w:hAnsiTheme="majorBidi" w:cstheme="majorBidi"/>
          <w:sz w:val="20"/>
          <w:szCs w:val="20"/>
        </w:rPr>
        <w:t xml:space="preserve"> alanında en az lisans eğitimi mezunu “İşyeri Eğitimi </w:t>
      </w:r>
      <w:r>
        <w:rPr>
          <w:rFonts w:asciiTheme="majorBidi" w:hAnsiTheme="majorBidi" w:cstheme="majorBidi"/>
          <w:sz w:val="20"/>
          <w:szCs w:val="20"/>
        </w:rPr>
        <w:t>Sorumlusu</w:t>
      </w:r>
      <w:r w:rsidRPr="00A50775">
        <w:rPr>
          <w:rFonts w:asciiTheme="majorBidi" w:hAnsiTheme="majorBidi" w:cstheme="majorBidi"/>
          <w:sz w:val="20"/>
          <w:szCs w:val="20"/>
        </w:rPr>
        <w:t>d</w:t>
      </w:r>
      <w:r>
        <w:rPr>
          <w:rFonts w:asciiTheme="majorBidi" w:hAnsiTheme="majorBidi" w:cstheme="majorBidi"/>
          <w:sz w:val="20"/>
          <w:szCs w:val="20"/>
        </w:rPr>
        <w:t>u</w:t>
      </w:r>
      <w:r w:rsidRPr="00A50775">
        <w:rPr>
          <w:rFonts w:asciiTheme="majorBidi" w:hAnsiTheme="majorBidi" w:cstheme="majorBidi"/>
          <w:sz w:val="20"/>
          <w:szCs w:val="20"/>
        </w:rPr>
        <w:t xml:space="preserve">r. 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832AE8">
        <w:rPr>
          <w:rFonts w:asciiTheme="majorBidi" w:hAnsiTheme="majorBidi" w:cstheme="majorBidi"/>
          <w:sz w:val="20"/>
          <w:szCs w:val="20"/>
        </w:rPr>
        <w:t>ISUBÜ Meslek Yüksekokullarında bu programdan sorumlu yetkili Meslek Yüksekokulları İşyeri Eğitimi Koordinasyon sorumlusu ve öğrencinin kayıtlı olduğu ilgili bölüm başkanlığıdır.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 xml:space="preserve">İşyeri Eğitimi ile ilgili tüm ilişkiler bu </w:t>
      </w:r>
      <w:r>
        <w:rPr>
          <w:rFonts w:asciiTheme="majorBidi" w:hAnsiTheme="majorBidi" w:cstheme="majorBidi"/>
          <w:sz w:val="20"/>
          <w:szCs w:val="20"/>
        </w:rPr>
        <w:t>birimler</w:t>
      </w:r>
      <w:r w:rsidRPr="00A50775">
        <w:rPr>
          <w:rFonts w:asciiTheme="majorBidi" w:hAnsiTheme="majorBidi" w:cstheme="majorBidi"/>
          <w:sz w:val="20"/>
          <w:szCs w:val="20"/>
        </w:rPr>
        <w:t xml:space="preserve"> aracılığı ile yürütülür.</w:t>
      </w:r>
    </w:p>
    <w:p w:rsidR="0025415B" w:rsidRPr="00A50775" w:rsidRDefault="0025415B" w:rsidP="0025415B">
      <w:pPr>
        <w:tabs>
          <w:tab w:val="left" w:pos="3060"/>
        </w:tabs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ab/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 xml:space="preserve">İşyeri Eğitimi uygulamaları bu protokol hükümleri dâhilinde hazırlanan </w:t>
      </w:r>
      <w:r>
        <w:rPr>
          <w:rFonts w:asciiTheme="majorBidi" w:hAnsiTheme="majorBidi" w:cstheme="majorBidi"/>
          <w:sz w:val="20"/>
          <w:szCs w:val="20"/>
        </w:rPr>
        <w:t>ve Müdür/Bölüm Başkanı</w:t>
      </w:r>
      <w:r w:rsidRPr="00A50775">
        <w:rPr>
          <w:rFonts w:asciiTheme="majorBidi" w:hAnsiTheme="majorBidi" w:cstheme="majorBidi"/>
          <w:sz w:val="20"/>
          <w:szCs w:val="20"/>
        </w:rPr>
        <w:t xml:space="preserve">, Öğrenci ve İşyeri Eğitimi </w:t>
      </w:r>
      <w:r>
        <w:rPr>
          <w:rFonts w:asciiTheme="majorBidi" w:hAnsiTheme="majorBidi" w:cstheme="majorBidi"/>
          <w:sz w:val="20"/>
          <w:szCs w:val="20"/>
        </w:rPr>
        <w:t>Sorumlusu</w:t>
      </w:r>
      <w:r w:rsidRPr="00A50775">
        <w:rPr>
          <w:rFonts w:asciiTheme="majorBidi" w:hAnsiTheme="majorBidi" w:cstheme="majorBidi"/>
          <w:sz w:val="20"/>
          <w:szCs w:val="20"/>
        </w:rPr>
        <w:t xml:space="preserve"> tarafından imzalanan İŞYERİ EĞİTİMİ SÖZLEŞMESİ hükümleri çerçevesinde yürütülür ve sözleşme bu protokolün ayrılmaz bir ekidir.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</w:rPr>
        <w:t>Öğrencilerin Seçimi ve Denetimi</w:t>
      </w: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  <w:u w:val="single"/>
        </w:rPr>
        <w:t>Madde 7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>İşyeri Eğitimi için başvuran öğrencilerin kişisel bilgileri, bölümleri, akademik başarıları ile ilgili bütün bilgiler elektronik ortamda hazırlanır ve öğrenci bilgi bankası şeklinde</w:t>
      </w:r>
      <w:r>
        <w:rPr>
          <w:rFonts w:asciiTheme="majorBidi" w:hAnsiTheme="majorBidi" w:cstheme="majorBidi"/>
          <w:sz w:val="20"/>
          <w:szCs w:val="20"/>
        </w:rPr>
        <w:t xml:space="preserve"> ISUBÜ işyeri eğitimi </w:t>
      </w:r>
      <w:proofErr w:type="spellStart"/>
      <w:r>
        <w:rPr>
          <w:rFonts w:asciiTheme="majorBidi" w:hAnsiTheme="majorBidi" w:cstheme="majorBidi"/>
          <w:sz w:val="20"/>
          <w:szCs w:val="20"/>
        </w:rPr>
        <w:t>portalından</w:t>
      </w:r>
      <w:proofErr w:type="spellEnd"/>
      <w:r w:rsidRPr="00A50775">
        <w:rPr>
          <w:rFonts w:asciiTheme="majorBidi" w:hAnsiTheme="majorBidi" w:cstheme="majorBidi"/>
          <w:sz w:val="20"/>
          <w:szCs w:val="20"/>
        </w:rPr>
        <w:t xml:space="preserve"> ilgililerin hizmetine sunulur.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>Ayrıca protokol imzala</w:t>
      </w:r>
      <w:r>
        <w:rPr>
          <w:rFonts w:asciiTheme="majorBidi" w:hAnsiTheme="majorBidi" w:cstheme="majorBidi"/>
          <w:sz w:val="20"/>
          <w:szCs w:val="20"/>
        </w:rPr>
        <w:t>nan kurum veya işyerlerine</w:t>
      </w:r>
      <w:r w:rsidRPr="00A50775">
        <w:rPr>
          <w:rFonts w:asciiTheme="majorBidi" w:hAnsiTheme="majorBidi" w:cstheme="majorBidi"/>
          <w:sz w:val="20"/>
          <w:szCs w:val="20"/>
        </w:rPr>
        <w:t xml:space="preserve"> ilişkin </w:t>
      </w:r>
      <w:r>
        <w:rPr>
          <w:rFonts w:asciiTheme="majorBidi" w:hAnsiTheme="majorBidi" w:cstheme="majorBidi"/>
          <w:sz w:val="20"/>
          <w:szCs w:val="20"/>
        </w:rPr>
        <w:t>isim-</w:t>
      </w:r>
      <w:proofErr w:type="spellStart"/>
      <w:r>
        <w:rPr>
          <w:rFonts w:asciiTheme="majorBidi" w:hAnsiTheme="majorBidi" w:cstheme="majorBidi"/>
          <w:sz w:val="20"/>
          <w:szCs w:val="20"/>
        </w:rPr>
        <w:t>ünvan</w:t>
      </w:r>
      <w:proofErr w:type="spellEnd"/>
      <w:r w:rsidRPr="00A50775">
        <w:rPr>
          <w:rFonts w:asciiTheme="majorBidi" w:hAnsiTheme="majorBidi" w:cstheme="majorBidi"/>
          <w:sz w:val="20"/>
          <w:szCs w:val="20"/>
        </w:rPr>
        <w:t xml:space="preserve">, adresi, üretim veya hizmet konusu, personel ve atölye özellikleri ve kurum kimliğine ait bilgiler elektronik ortamda hazırlanır ve işyeri bilgi bankası şeklinde </w:t>
      </w:r>
      <w:r>
        <w:rPr>
          <w:rFonts w:asciiTheme="majorBidi" w:hAnsiTheme="majorBidi" w:cstheme="majorBidi"/>
          <w:sz w:val="20"/>
          <w:szCs w:val="20"/>
        </w:rPr>
        <w:t xml:space="preserve">ISUBÜ işyeri eğitimi </w:t>
      </w:r>
      <w:proofErr w:type="spellStart"/>
      <w:r>
        <w:rPr>
          <w:rFonts w:asciiTheme="majorBidi" w:hAnsiTheme="majorBidi" w:cstheme="majorBidi"/>
          <w:sz w:val="20"/>
          <w:szCs w:val="20"/>
        </w:rPr>
        <w:t>portalından</w:t>
      </w:r>
      <w:proofErr w:type="spellEnd"/>
      <w:r w:rsidRPr="00A50775">
        <w:rPr>
          <w:rFonts w:asciiTheme="majorBidi" w:hAnsiTheme="majorBidi" w:cstheme="majorBidi"/>
          <w:sz w:val="20"/>
          <w:szCs w:val="20"/>
        </w:rPr>
        <w:t xml:space="preserve"> hizmete sunulur.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 xml:space="preserve">İşyeri Eğitimi’ne başvuran öğrenciler, </w:t>
      </w:r>
      <w:r>
        <w:rPr>
          <w:rFonts w:asciiTheme="majorBidi" w:hAnsiTheme="majorBidi" w:cstheme="majorBidi"/>
          <w:sz w:val="20"/>
          <w:szCs w:val="20"/>
        </w:rPr>
        <w:t xml:space="preserve">ISUBÜ işyeri eğitimi </w:t>
      </w:r>
      <w:proofErr w:type="spellStart"/>
      <w:r>
        <w:rPr>
          <w:rFonts w:asciiTheme="majorBidi" w:hAnsiTheme="majorBidi" w:cstheme="majorBidi"/>
          <w:sz w:val="20"/>
          <w:szCs w:val="20"/>
        </w:rPr>
        <w:t>portalında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bulunan </w:t>
      </w:r>
      <w:r w:rsidRPr="00A50775">
        <w:rPr>
          <w:rFonts w:asciiTheme="majorBidi" w:hAnsiTheme="majorBidi" w:cstheme="majorBidi"/>
          <w:sz w:val="20"/>
          <w:szCs w:val="20"/>
        </w:rPr>
        <w:t xml:space="preserve">işyeri bilgi bankasından kendilerine uygun </w:t>
      </w:r>
      <w:r>
        <w:rPr>
          <w:rFonts w:asciiTheme="majorBidi" w:hAnsiTheme="majorBidi" w:cstheme="majorBidi"/>
          <w:sz w:val="20"/>
          <w:szCs w:val="20"/>
        </w:rPr>
        <w:t>seçimi yaparlar.</w:t>
      </w:r>
      <w:r w:rsidRPr="00A50775">
        <w:rPr>
          <w:rFonts w:asciiTheme="majorBidi" w:hAnsiTheme="majorBidi" w:cstheme="majorBidi"/>
          <w:sz w:val="20"/>
          <w:szCs w:val="20"/>
        </w:rPr>
        <w:t xml:space="preserve"> 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>Protokol kapsamındaki işyerleri de</w:t>
      </w:r>
      <w:r>
        <w:rPr>
          <w:rFonts w:asciiTheme="majorBidi" w:hAnsiTheme="majorBidi" w:cstheme="majorBidi"/>
          <w:sz w:val="20"/>
          <w:szCs w:val="20"/>
        </w:rPr>
        <w:t>,</w:t>
      </w:r>
      <w:r w:rsidRPr="00A50775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ISUBÜ işyeri eğitimi </w:t>
      </w:r>
      <w:proofErr w:type="spellStart"/>
      <w:r>
        <w:rPr>
          <w:rFonts w:asciiTheme="majorBidi" w:hAnsiTheme="majorBidi" w:cstheme="majorBidi"/>
          <w:sz w:val="20"/>
          <w:szCs w:val="20"/>
        </w:rPr>
        <w:t>portalı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üzerinden varsa tercih ettikleri öğrencileri </w:t>
      </w:r>
      <w:r w:rsidRPr="00832AE8">
        <w:rPr>
          <w:rFonts w:asciiTheme="majorBidi" w:hAnsiTheme="majorBidi" w:cstheme="majorBidi"/>
          <w:sz w:val="20"/>
          <w:szCs w:val="20"/>
        </w:rPr>
        <w:t>İşyeri Eğitimi Koordinasyon sorumlusuna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832AE8">
        <w:rPr>
          <w:rFonts w:asciiTheme="majorBidi" w:hAnsiTheme="majorBidi" w:cstheme="majorBidi"/>
          <w:sz w:val="20"/>
          <w:szCs w:val="20"/>
        </w:rPr>
        <w:t>veya öğrencinin kayıtlı olduğu ilgili bölüm başkanlığına bildirirler.</w:t>
      </w:r>
      <w:r w:rsidRPr="00A50775">
        <w:rPr>
          <w:rFonts w:asciiTheme="majorBidi" w:hAnsiTheme="majorBidi" w:cstheme="majorBidi"/>
          <w:sz w:val="20"/>
          <w:szCs w:val="20"/>
        </w:rPr>
        <w:t xml:space="preserve"> 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4D7CC7">
        <w:rPr>
          <w:sz w:val="20"/>
          <w:szCs w:val="20"/>
        </w:rPr>
        <w:t xml:space="preserve">İşyeri Uygulamaları </w:t>
      </w:r>
      <w:r>
        <w:rPr>
          <w:sz w:val="20"/>
          <w:szCs w:val="20"/>
        </w:rPr>
        <w:t>Denetçi</w:t>
      </w:r>
      <w:r w:rsidRPr="004D7CC7">
        <w:rPr>
          <w:sz w:val="20"/>
          <w:szCs w:val="20"/>
        </w:rPr>
        <w:t xml:space="preserve"> Öğretim Elemanı veya </w:t>
      </w:r>
      <w:r w:rsidRPr="00832AE8">
        <w:rPr>
          <w:sz w:val="20"/>
          <w:szCs w:val="20"/>
        </w:rPr>
        <w:t>Bölüm/Program Başkanı</w:t>
      </w:r>
      <w:r w:rsidRPr="004D7CC7">
        <w:rPr>
          <w:sz w:val="20"/>
          <w:szCs w:val="20"/>
        </w:rPr>
        <w:t xml:space="preserve"> </w:t>
      </w:r>
      <w:r w:rsidRPr="00A50775">
        <w:rPr>
          <w:rFonts w:asciiTheme="majorBidi" w:hAnsiTheme="majorBidi" w:cstheme="majorBidi"/>
          <w:sz w:val="20"/>
          <w:szCs w:val="20"/>
        </w:rPr>
        <w:t xml:space="preserve">İşyeri Eğitimi’nin amaçları ışığında işyeri </w:t>
      </w:r>
      <w:r>
        <w:rPr>
          <w:rFonts w:asciiTheme="majorBidi" w:hAnsiTheme="majorBidi" w:cstheme="majorBidi"/>
          <w:sz w:val="20"/>
          <w:szCs w:val="20"/>
        </w:rPr>
        <w:t>ve</w:t>
      </w:r>
      <w:r w:rsidRPr="00A50775">
        <w:rPr>
          <w:rFonts w:asciiTheme="majorBidi" w:hAnsiTheme="majorBidi" w:cstheme="majorBidi"/>
          <w:sz w:val="20"/>
          <w:szCs w:val="20"/>
        </w:rPr>
        <w:t xml:space="preserve"> öğrenciler</w:t>
      </w:r>
      <w:r>
        <w:rPr>
          <w:rFonts w:asciiTheme="majorBidi" w:hAnsiTheme="majorBidi" w:cstheme="majorBidi"/>
          <w:sz w:val="20"/>
          <w:szCs w:val="20"/>
        </w:rPr>
        <w:t xml:space="preserve">in </w:t>
      </w:r>
      <w:r w:rsidRPr="00A50775">
        <w:rPr>
          <w:rFonts w:asciiTheme="majorBidi" w:hAnsiTheme="majorBidi" w:cstheme="majorBidi"/>
          <w:sz w:val="20"/>
          <w:szCs w:val="20"/>
        </w:rPr>
        <w:t>tercihleri</w:t>
      </w:r>
      <w:r>
        <w:rPr>
          <w:rFonts w:asciiTheme="majorBidi" w:hAnsiTheme="majorBidi" w:cstheme="majorBidi"/>
          <w:sz w:val="20"/>
          <w:szCs w:val="20"/>
        </w:rPr>
        <w:t>ni</w:t>
      </w:r>
      <w:r w:rsidRPr="00A50775">
        <w:rPr>
          <w:rFonts w:asciiTheme="majorBidi" w:hAnsiTheme="majorBidi" w:cstheme="majorBidi"/>
          <w:sz w:val="20"/>
          <w:szCs w:val="20"/>
        </w:rPr>
        <w:t xml:space="preserve"> dikkate alarak tarafları eşleştirir.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 xml:space="preserve">Öğrencilerin İşyeri Eğitimi kapsamındaki tüm etkinliklerinin planlanması ve denetimi, İşyeri Eğitimi </w:t>
      </w:r>
      <w:r>
        <w:rPr>
          <w:rFonts w:asciiTheme="majorBidi" w:hAnsiTheme="majorBidi" w:cstheme="majorBidi"/>
          <w:sz w:val="20"/>
          <w:szCs w:val="20"/>
        </w:rPr>
        <w:t>Sorumlusu</w:t>
      </w:r>
      <w:r w:rsidRPr="00A50775">
        <w:rPr>
          <w:rFonts w:asciiTheme="majorBidi" w:hAnsiTheme="majorBidi" w:cstheme="majorBidi"/>
          <w:sz w:val="20"/>
          <w:szCs w:val="20"/>
        </w:rPr>
        <w:t xml:space="preserve"> ile öğrencinin bağlı olduğu </w:t>
      </w:r>
      <w:r w:rsidRPr="004D7CC7">
        <w:rPr>
          <w:sz w:val="20"/>
          <w:szCs w:val="20"/>
        </w:rPr>
        <w:t xml:space="preserve">İşyeri Uygulamaları </w:t>
      </w:r>
      <w:r>
        <w:rPr>
          <w:sz w:val="20"/>
          <w:szCs w:val="20"/>
        </w:rPr>
        <w:t xml:space="preserve">Denetçi </w:t>
      </w:r>
      <w:r w:rsidRPr="004D7CC7">
        <w:rPr>
          <w:sz w:val="20"/>
          <w:szCs w:val="20"/>
        </w:rPr>
        <w:t>Öğretim Elemanı</w:t>
      </w:r>
      <w:r>
        <w:rPr>
          <w:sz w:val="20"/>
          <w:szCs w:val="20"/>
        </w:rPr>
        <w:t>nın</w:t>
      </w:r>
      <w:r w:rsidRPr="004D7CC7">
        <w:rPr>
          <w:sz w:val="20"/>
          <w:szCs w:val="20"/>
        </w:rPr>
        <w:t xml:space="preserve"> </w:t>
      </w:r>
      <w:r w:rsidRPr="00A50775">
        <w:rPr>
          <w:rFonts w:asciiTheme="majorBidi" w:hAnsiTheme="majorBidi" w:cstheme="majorBidi"/>
          <w:sz w:val="20"/>
          <w:szCs w:val="20"/>
        </w:rPr>
        <w:t>ortak sorumluluğunda yapılır.</w:t>
      </w:r>
    </w:p>
    <w:p w:rsidR="0025415B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Pr="004D7CC7" w:rsidRDefault="0025415B" w:rsidP="0025415B">
      <w:pPr>
        <w:autoSpaceDE w:val="0"/>
        <w:autoSpaceDN w:val="0"/>
        <w:adjustRightInd w:val="0"/>
        <w:rPr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 xml:space="preserve">Bu sorumluluk; </w:t>
      </w:r>
      <w:r>
        <w:rPr>
          <w:sz w:val="20"/>
          <w:szCs w:val="20"/>
        </w:rPr>
        <w:t>ilgili</w:t>
      </w:r>
      <w:r w:rsidRPr="004D7CC7">
        <w:rPr>
          <w:sz w:val="20"/>
          <w:szCs w:val="20"/>
        </w:rPr>
        <w:t xml:space="preserve"> yönerge</w:t>
      </w:r>
      <w:r>
        <w:rPr>
          <w:sz w:val="20"/>
          <w:szCs w:val="20"/>
        </w:rPr>
        <w:t>ler kapsamındadır.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 xml:space="preserve"> </w:t>
      </w:r>
    </w:p>
    <w:p w:rsidR="0025415B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</w:rPr>
        <w:t xml:space="preserve">İşyeri Eğitimi Yapan Öğrencilerin Sorumlulukları </w:t>
      </w: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  <w:u w:val="single"/>
        </w:rPr>
        <w:t>Madde 8</w:t>
      </w:r>
      <w:r w:rsidRPr="00A50775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>Öğrenciler, İşyeri Eğitimi kapsamında kabul edildikleri kurum veya işyerlerinde</w:t>
      </w:r>
      <w:r>
        <w:rPr>
          <w:rFonts w:asciiTheme="majorBidi" w:hAnsiTheme="majorBidi" w:cstheme="majorBidi"/>
          <w:sz w:val="20"/>
          <w:szCs w:val="20"/>
        </w:rPr>
        <w:t xml:space="preserve"> ilgili yönergeler dayanağında olmak üzere,</w:t>
      </w:r>
      <w:r w:rsidRPr="00A50775">
        <w:rPr>
          <w:rFonts w:asciiTheme="majorBidi" w:hAnsiTheme="majorBidi" w:cstheme="majorBidi"/>
          <w:sz w:val="20"/>
          <w:szCs w:val="20"/>
        </w:rPr>
        <w:t xml:space="preserve"> geçerli çalışma şartlarına ve kurallarına uyarak ve tüm mesleki</w:t>
      </w:r>
      <w:r>
        <w:rPr>
          <w:rFonts w:asciiTheme="majorBidi" w:hAnsiTheme="majorBidi" w:cstheme="majorBidi"/>
          <w:sz w:val="20"/>
          <w:szCs w:val="20"/>
        </w:rPr>
        <w:t xml:space="preserve"> etkinliklere bizzat katılarak bir</w:t>
      </w:r>
      <w:r w:rsidRPr="00A50775">
        <w:rPr>
          <w:rFonts w:asciiTheme="majorBidi" w:hAnsiTheme="majorBidi" w:cstheme="majorBidi"/>
          <w:sz w:val="20"/>
          <w:szCs w:val="20"/>
        </w:rPr>
        <w:t xml:space="preserve"> yarıyıl çalışmak zorundadırlar. Ancak öğrenciler günde sekiz saatten fazla çalıştırılamazlar.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Buna aykırı </w:t>
      </w:r>
      <w:r w:rsidRPr="00A50775">
        <w:rPr>
          <w:rFonts w:asciiTheme="majorBidi" w:hAnsiTheme="majorBidi" w:cstheme="majorBidi"/>
          <w:sz w:val="20"/>
          <w:szCs w:val="20"/>
        </w:rPr>
        <w:t>tutum içinde olan öğrenciler İşyeri Eğitimi’nden başarısız sayılır.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</w:rPr>
        <w:t xml:space="preserve">İşyeri Eğitimi Yapan Öğrencilerin Hakları </w:t>
      </w: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  <w:u w:val="single"/>
        </w:rPr>
        <w:t>Madde 9</w:t>
      </w:r>
      <w:r w:rsidRPr="00A50775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25415B" w:rsidRPr="00A50775" w:rsidRDefault="0025415B" w:rsidP="0025415B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 xml:space="preserve">Öğrencilerin çalışma sürelerince </w:t>
      </w:r>
      <w:r>
        <w:rPr>
          <w:rFonts w:asciiTheme="majorBidi" w:hAnsiTheme="majorBidi" w:cstheme="majorBidi"/>
          <w:sz w:val="20"/>
          <w:szCs w:val="20"/>
        </w:rPr>
        <w:t>3308</w:t>
      </w:r>
      <w:r w:rsidRPr="00A50775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S</w:t>
      </w:r>
      <w:r w:rsidRPr="00A50775">
        <w:rPr>
          <w:rFonts w:asciiTheme="majorBidi" w:hAnsiTheme="majorBidi" w:cstheme="majorBidi"/>
          <w:sz w:val="20"/>
          <w:szCs w:val="20"/>
        </w:rPr>
        <w:t xml:space="preserve">ayılı </w:t>
      </w:r>
      <w:r>
        <w:rPr>
          <w:rFonts w:asciiTheme="majorBidi" w:hAnsiTheme="majorBidi" w:cstheme="majorBidi"/>
          <w:sz w:val="20"/>
          <w:szCs w:val="20"/>
        </w:rPr>
        <w:t xml:space="preserve">Mesleki Eğitim </w:t>
      </w:r>
      <w:r w:rsidRPr="00A50775">
        <w:rPr>
          <w:rFonts w:asciiTheme="majorBidi" w:hAnsiTheme="majorBidi" w:cstheme="majorBidi"/>
          <w:sz w:val="20"/>
          <w:szCs w:val="20"/>
        </w:rPr>
        <w:t xml:space="preserve">Kanunun </w:t>
      </w:r>
      <w:proofErr w:type="gramStart"/>
      <w:r>
        <w:rPr>
          <w:rFonts w:asciiTheme="majorBidi" w:hAnsiTheme="majorBidi" w:cstheme="majorBidi"/>
          <w:sz w:val="20"/>
          <w:szCs w:val="20"/>
        </w:rPr>
        <w:t xml:space="preserve">ilgili  </w:t>
      </w:r>
      <w:r w:rsidRPr="00A50775">
        <w:rPr>
          <w:rFonts w:asciiTheme="majorBidi" w:hAnsiTheme="majorBidi" w:cstheme="majorBidi"/>
          <w:sz w:val="20"/>
          <w:szCs w:val="20"/>
        </w:rPr>
        <w:t>maddesindeki</w:t>
      </w:r>
      <w:proofErr w:type="gramEnd"/>
      <w:r w:rsidRPr="00A50775">
        <w:rPr>
          <w:rFonts w:asciiTheme="majorBidi" w:hAnsiTheme="majorBidi" w:cstheme="majorBidi"/>
          <w:sz w:val="20"/>
          <w:szCs w:val="20"/>
        </w:rPr>
        <w:t xml:space="preserve"> hükümler geçerlidir. </w:t>
      </w:r>
    </w:p>
    <w:p w:rsidR="0025415B" w:rsidRPr="00A50775" w:rsidRDefault="0025415B" w:rsidP="0025415B">
      <w:pPr>
        <w:numPr>
          <w:ilvl w:val="0"/>
          <w:numId w:val="1"/>
        </w:num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 xml:space="preserve">Öğrencilerin kurum personeline tanınan ulaşım </w:t>
      </w:r>
      <w:proofErr w:type="gramStart"/>
      <w:r w:rsidRPr="00A50775">
        <w:rPr>
          <w:rFonts w:asciiTheme="majorBidi" w:hAnsiTheme="majorBidi" w:cstheme="majorBidi"/>
          <w:sz w:val="20"/>
          <w:szCs w:val="20"/>
        </w:rPr>
        <w:t>imkanları</w:t>
      </w:r>
      <w:proofErr w:type="gramEnd"/>
      <w:r w:rsidRPr="00A50775">
        <w:rPr>
          <w:rFonts w:asciiTheme="majorBidi" w:hAnsiTheme="majorBidi" w:cstheme="majorBidi"/>
          <w:sz w:val="20"/>
          <w:szCs w:val="20"/>
        </w:rPr>
        <w:t xml:space="preserve"> ile diğer sosyal hizmetlerden parasız olarak yararlandırılması beklenir. Ancak kanuni bir hakka veya toplu sözleşmeye dayanarak yapılmakta olan yardımlardan öğrenciler istifade edemezler.</w:t>
      </w:r>
    </w:p>
    <w:p w:rsidR="0025415B" w:rsidRPr="00A50775" w:rsidRDefault="0025415B" w:rsidP="0025415B">
      <w:pPr>
        <w:numPr>
          <w:ilvl w:val="0"/>
          <w:numId w:val="1"/>
        </w:numPr>
        <w:jc w:val="both"/>
        <w:rPr>
          <w:rFonts w:asciiTheme="majorBidi" w:hAnsiTheme="majorBidi" w:cstheme="majorBidi"/>
          <w:sz w:val="20"/>
          <w:szCs w:val="20"/>
        </w:rPr>
      </w:pPr>
      <w:r w:rsidRPr="00641B3F">
        <w:rPr>
          <w:rFonts w:asciiTheme="majorBidi" w:hAnsiTheme="majorBidi" w:cstheme="majorBidi"/>
          <w:sz w:val="20"/>
          <w:szCs w:val="20"/>
        </w:rPr>
        <w:t>Isparta Uygulamalı Bilimler Üniversitesi</w:t>
      </w:r>
      <w:r w:rsidRPr="00A50775">
        <w:rPr>
          <w:rFonts w:asciiTheme="majorBidi" w:hAnsiTheme="majorBidi" w:cstheme="majorBidi"/>
          <w:sz w:val="20"/>
          <w:szCs w:val="20"/>
        </w:rPr>
        <w:t xml:space="preserve">, İşyeri Eğitimi yapan öğrencileri için; 5510 sayılı kanun gereği İş Kazası ve Meslek Hastalıklarına karşı sigortalar ve primlerini öder. </w:t>
      </w:r>
    </w:p>
    <w:p w:rsidR="0025415B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</w:rPr>
        <w:t>Gizli Bilgi, Ticari Sırlar ve Patent Haklarının Korunması</w:t>
      </w: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  <w:u w:val="single"/>
        </w:rPr>
        <w:t>Madde 10</w:t>
      </w:r>
      <w:r w:rsidRPr="00A50775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>Taraflar, İşyeri Eğitimi çalışmaları sırasında ve bu uygulamanın sona ermesinden sonra 5 yıl süreyle yapılan tüm çalışmalarla ilgili tüm ticari sırları ve gizli belgeleri koruyacaklarını kabul ve beyan ederler.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 xml:space="preserve">Söz konusu koruma kapsamında, İşyeri Eğitimi programı sırasında çalışma, araştırma-geliştirme ve endüstriyel uygulamalar süresinde herhangi bir aşamada yer almış olan Öğrenciler, </w:t>
      </w:r>
      <w:r w:rsidRPr="004D7CC7">
        <w:rPr>
          <w:sz w:val="20"/>
          <w:szCs w:val="20"/>
        </w:rPr>
        <w:t xml:space="preserve">İşyeri Uygulamaları </w:t>
      </w:r>
      <w:r>
        <w:rPr>
          <w:sz w:val="20"/>
          <w:szCs w:val="20"/>
        </w:rPr>
        <w:t>Denetçi</w:t>
      </w:r>
      <w:r w:rsidRPr="004D7CC7">
        <w:rPr>
          <w:sz w:val="20"/>
          <w:szCs w:val="20"/>
        </w:rPr>
        <w:t xml:space="preserve"> Öğretim Eleman</w:t>
      </w:r>
      <w:r>
        <w:rPr>
          <w:sz w:val="20"/>
          <w:szCs w:val="20"/>
        </w:rPr>
        <w:t>ları</w:t>
      </w:r>
      <w:r w:rsidRPr="003224A6">
        <w:rPr>
          <w:sz w:val="20"/>
          <w:szCs w:val="20"/>
        </w:rPr>
        <w:t xml:space="preserve">, İşyeri </w:t>
      </w:r>
      <w:r>
        <w:rPr>
          <w:sz w:val="20"/>
          <w:szCs w:val="20"/>
        </w:rPr>
        <w:t xml:space="preserve">Eğitimi </w:t>
      </w:r>
      <w:r w:rsidRPr="003224A6">
        <w:rPr>
          <w:sz w:val="20"/>
          <w:szCs w:val="20"/>
        </w:rPr>
        <w:t>Uygulamaları Kurulu ve İşyeri Eğitimi</w:t>
      </w:r>
      <w:r>
        <w:rPr>
          <w:sz w:val="20"/>
          <w:szCs w:val="20"/>
        </w:rPr>
        <w:t xml:space="preserve"> Koordinasyon sorumlusu;</w:t>
      </w:r>
    </w:p>
    <w:p w:rsidR="0025415B" w:rsidRPr="00A50775" w:rsidRDefault="0025415B" w:rsidP="0025415B">
      <w:pPr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>Bu çalışmalar kapsamında hiçbir bilgiyi ifşa etmeyeceğini,</w:t>
      </w:r>
    </w:p>
    <w:p w:rsidR="0025415B" w:rsidRPr="00A50775" w:rsidRDefault="0025415B" w:rsidP="0025415B">
      <w:pPr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>İşyeri Eğitimi sürecinde, kendisi tarafından düşünülmüş olsun olmasın, kurum veya işyeri için ticari sır niteliği taşıyan hiçbir bilgiyi üçüncü şahıslara beyan edemeyeceğini,</w:t>
      </w:r>
    </w:p>
    <w:p w:rsidR="0025415B" w:rsidRPr="00A50775" w:rsidRDefault="0025415B" w:rsidP="0025415B">
      <w:pPr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>İşyeri Eğitimi sırasında kendisi tarafından kullanılan, üretilen, kontrol edilen tüm not, kayıt (bant, disk, disket vb.) ve belgeleri kuruma teslim etmeyi,</w:t>
      </w:r>
    </w:p>
    <w:p w:rsidR="0025415B" w:rsidRPr="00A50775" w:rsidRDefault="0025415B" w:rsidP="0025415B">
      <w:pPr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>İşyeri Eğitimi sonrasında veya bitiminden önce eğitimden ayrılmaları durumda da geçerli olmak üzere, kurum veya işyeri ile rekabet içinde olan kuruluşlarla aynı konularda araştırma-geliştirme ve her türlü haksız rekabet ortamı yaratacak çalışmalarda bulunmamayı, kabul ve beyan ederler.</w:t>
      </w:r>
    </w:p>
    <w:p w:rsidR="0025415B" w:rsidRPr="00A50775" w:rsidRDefault="0025415B" w:rsidP="0025415B">
      <w:pPr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 xml:space="preserve">Bu protokol kapsamındaki İşyeri Eğitimi çalışmaları sırasında ve sonrasında elde edilen bilgileri herhangi bir teknik veya akademik bildiri, rapor ve benzeri yayınlarda kullanmak durumunda ilgili kurum veya işyeri yetkililerinden iznini almayı, 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A50775">
        <w:rPr>
          <w:rFonts w:asciiTheme="majorBidi" w:hAnsiTheme="majorBidi" w:cstheme="majorBidi"/>
          <w:sz w:val="20"/>
          <w:szCs w:val="20"/>
        </w:rPr>
        <w:t>kabul</w:t>
      </w:r>
      <w:proofErr w:type="gramEnd"/>
      <w:r w:rsidRPr="00A50775">
        <w:rPr>
          <w:rFonts w:asciiTheme="majorBidi" w:hAnsiTheme="majorBidi" w:cstheme="majorBidi"/>
          <w:sz w:val="20"/>
          <w:szCs w:val="20"/>
        </w:rPr>
        <w:t xml:space="preserve"> ve beyan ederler.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32AE8">
        <w:rPr>
          <w:rFonts w:asciiTheme="majorBidi" w:hAnsiTheme="majorBidi" w:cstheme="majorBidi"/>
          <w:sz w:val="20"/>
          <w:szCs w:val="20"/>
        </w:rPr>
        <w:t>firması</w:t>
      </w:r>
      <w:proofErr w:type="gramEnd"/>
      <w:r w:rsidRPr="00832AE8">
        <w:rPr>
          <w:rFonts w:asciiTheme="majorBidi" w:hAnsiTheme="majorBidi" w:cstheme="majorBidi"/>
          <w:sz w:val="20"/>
          <w:szCs w:val="20"/>
        </w:rPr>
        <w:t xml:space="preserve"> </w:t>
      </w:r>
      <w:r w:rsidRPr="00641B3F">
        <w:rPr>
          <w:rFonts w:asciiTheme="majorBidi" w:hAnsiTheme="majorBidi" w:cstheme="majorBidi"/>
          <w:sz w:val="20"/>
          <w:szCs w:val="20"/>
        </w:rPr>
        <w:t>Isparta Uygulamalı Bilimler Üniversitesi</w:t>
      </w:r>
      <w:r w:rsidRPr="00A50775">
        <w:rPr>
          <w:rFonts w:asciiTheme="majorBidi" w:hAnsiTheme="majorBidi" w:cstheme="majorBidi"/>
          <w:sz w:val="20"/>
          <w:szCs w:val="20"/>
        </w:rPr>
        <w:t xml:space="preserve"> ile birlikte işbu protokol hükümleri çerçevesinde İşyeri Eğitimi çalışmalarında </w:t>
      </w:r>
      <w:r>
        <w:rPr>
          <w:rFonts w:asciiTheme="majorBidi" w:hAnsiTheme="majorBidi" w:cstheme="majorBidi"/>
          <w:sz w:val="20"/>
          <w:szCs w:val="20"/>
        </w:rPr>
        <w:t>i</w:t>
      </w:r>
      <w:r w:rsidRPr="00A50775">
        <w:rPr>
          <w:rFonts w:asciiTheme="majorBidi" w:hAnsiTheme="majorBidi" w:cstheme="majorBidi"/>
          <w:sz w:val="20"/>
          <w:szCs w:val="20"/>
        </w:rPr>
        <w:t>şbirliğini kabul ve taahhüt eder.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25415B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>………………</w:t>
      </w:r>
      <w:proofErr w:type="gramEnd"/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       </w:t>
      </w:r>
      <w:r>
        <w:rPr>
          <w:rFonts w:asciiTheme="majorBidi" w:hAnsiTheme="majorBidi" w:cstheme="majorBidi"/>
          <w:sz w:val="20"/>
          <w:szCs w:val="20"/>
        </w:rPr>
        <w:tab/>
        <w:t xml:space="preserve">                       …/…/201…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       </w:t>
      </w:r>
      <w:r>
        <w:rPr>
          <w:rFonts w:asciiTheme="majorBidi" w:hAnsiTheme="majorBidi" w:cstheme="majorBidi"/>
          <w:sz w:val="20"/>
          <w:szCs w:val="20"/>
        </w:rPr>
        <w:tab/>
      </w:r>
      <w:proofErr w:type="gramStart"/>
      <w:r>
        <w:rPr>
          <w:rFonts w:asciiTheme="majorBidi" w:hAnsiTheme="majorBidi" w:cstheme="majorBidi"/>
          <w:sz w:val="20"/>
          <w:szCs w:val="20"/>
        </w:rPr>
        <w:t>………………</w:t>
      </w:r>
      <w:proofErr w:type="gramEnd"/>
    </w:p>
    <w:p w:rsidR="0025415B" w:rsidRDefault="0025415B" w:rsidP="0025415B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Müdür/Bölüm Başkanı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>İşyeri Yöneticisi</w:t>
      </w:r>
    </w:p>
    <w:p w:rsidR="0025415B" w:rsidRDefault="0025415B" w:rsidP="0025415B">
      <w:pPr>
        <w:rPr>
          <w:rFonts w:asciiTheme="majorBidi" w:hAnsiTheme="majorBidi" w:cstheme="majorBidi"/>
          <w:sz w:val="20"/>
          <w:szCs w:val="20"/>
        </w:rPr>
      </w:pPr>
    </w:p>
    <w:p w:rsidR="0025415B" w:rsidRDefault="0025415B" w:rsidP="0025415B">
      <w:pPr>
        <w:rPr>
          <w:rFonts w:asciiTheme="majorBidi" w:hAnsiTheme="majorBidi" w:cstheme="majorBidi"/>
          <w:sz w:val="20"/>
          <w:szCs w:val="20"/>
        </w:rPr>
      </w:pPr>
    </w:p>
    <w:p w:rsidR="0025415B" w:rsidRDefault="0025415B" w:rsidP="0025415B">
      <w:pPr>
        <w:rPr>
          <w:rFonts w:asciiTheme="majorBidi" w:hAnsiTheme="majorBidi" w:cstheme="majorBidi"/>
          <w:sz w:val="20"/>
          <w:szCs w:val="20"/>
        </w:rPr>
      </w:pPr>
    </w:p>
    <w:p w:rsidR="0025415B" w:rsidRDefault="0025415B" w:rsidP="0025415B">
      <w:pPr>
        <w:rPr>
          <w:rFonts w:asciiTheme="majorBidi" w:hAnsiTheme="majorBidi" w:cstheme="majorBidi"/>
          <w:sz w:val="20"/>
          <w:szCs w:val="20"/>
        </w:rPr>
      </w:pPr>
    </w:p>
    <w:p w:rsidR="0025415B" w:rsidRDefault="0025415B" w:rsidP="0025415B">
      <w:pPr>
        <w:rPr>
          <w:rFonts w:asciiTheme="majorBidi" w:hAnsiTheme="majorBidi" w:cstheme="majorBidi"/>
          <w:sz w:val="20"/>
          <w:szCs w:val="20"/>
        </w:rPr>
      </w:pPr>
    </w:p>
    <w:p w:rsidR="0025415B" w:rsidRDefault="0025415B" w:rsidP="0025415B">
      <w:pPr>
        <w:rPr>
          <w:rFonts w:asciiTheme="majorBidi" w:hAnsiTheme="majorBidi" w:cstheme="majorBidi"/>
          <w:sz w:val="20"/>
          <w:szCs w:val="20"/>
        </w:rPr>
      </w:pPr>
    </w:p>
    <w:p w:rsidR="0025415B" w:rsidRDefault="0025415B" w:rsidP="0025415B">
      <w:pPr>
        <w:rPr>
          <w:rFonts w:asciiTheme="majorBidi" w:hAnsiTheme="majorBidi" w:cstheme="majorBidi"/>
          <w:sz w:val="20"/>
          <w:szCs w:val="20"/>
        </w:rPr>
      </w:pPr>
    </w:p>
    <w:p w:rsidR="0025415B" w:rsidRDefault="0025415B" w:rsidP="0025415B">
      <w:pPr>
        <w:rPr>
          <w:rFonts w:asciiTheme="majorBidi" w:hAnsiTheme="majorBidi" w:cstheme="majorBidi"/>
          <w:sz w:val="20"/>
          <w:szCs w:val="20"/>
        </w:rPr>
      </w:pPr>
    </w:p>
    <w:p w:rsidR="0025415B" w:rsidRDefault="0025415B" w:rsidP="0025415B">
      <w:pPr>
        <w:rPr>
          <w:rFonts w:asciiTheme="majorBidi" w:hAnsiTheme="majorBidi" w:cstheme="majorBidi"/>
          <w:sz w:val="20"/>
          <w:szCs w:val="20"/>
        </w:rPr>
      </w:pPr>
    </w:p>
    <w:p w:rsidR="0025415B" w:rsidRDefault="0025415B" w:rsidP="0025415B">
      <w:pPr>
        <w:rPr>
          <w:rFonts w:asciiTheme="majorBidi" w:hAnsiTheme="majorBidi" w:cstheme="majorBidi"/>
          <w:sz w:val="20"/>
          <w:szCs w:val="20"/>
        </w:rPr>
      </w:pPr>
      <w:r w:rsidRPr="00BF2CB6">
        <w:rPr>
          <w:rFonts w:asciiTheme="majorBidi" w:hAnsiTheme="majorBidi" w:cstheme="majorBidi"/>
          <w:b/>
          <w:sz w:val="20"/>
          <w:szCs w:val="20"/>
          <w:u w:val="single"/>
        </w:rPr>
        <w:t>Ek:</w:t>
      </w:r>
      <w:r>
        <w:rPr>
          <w:rFonts w:asciiTheme="majorBidi" w:hAnsiTheme="majorBidi" w:cstheme="majorBidi"/>
          <w:sz w:val="20"/>
          <w:szCs w:val="20"/>
        </w:rPr>
        <w:t xml:space="preserve"> Bölüm, Program ve Kontenjan Bilgileri</w:t>
      </w:r>
    </w:p>
    <w:p w:rsidR="0025415B" w:rsidRDefault="0025415B" w:rsidP="0025415B">
      <w:pPr>
        <w:rPr>
          <w:rFonts w:asciiTheme="majorBidi" w:hAnsiTheme="majorBidi" w:cstheme="majorBidi"/>
          <w:sz w:val="20"/>
          <w:szCs w:val="20"/>
        </w:rPr>
      </w:pPr>
    </w:p>
    <w:tbl>
      <w:tblPr>
        <w:tblW w:w="91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8"/>
        <w:gridCol w:w="3309"/>
        <w:gridCol w:w="802"/>
        <w:gridCol w:w="854"/>
      </w:tblGrid>
      <w:tr w:rsidR="0025415B" w:rsidRPr="0027605C" w:rsidTr="009429F0">
        <w:trPr>
          <w:trHeight w:val="306"/>
        </w:trPr>
        <w:tc>
          <w:tcPr>
            <w:tcW w:w="4188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5B" w:rsidRPr="00B206C4" w:rsidRDefault="0025415B" w:rsidP="009429F0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B206C4">
              <w:rPr>
                <w:rFonts w:ascii="Calibri" w:hAnsi="Calibri" w:cs="Calibri"/>
                <w:b/>
                <w:bCs/>
                <w:szCs w:val="20"/>
              </w:rPr>
              <w:t>Bölüm</w:t>
            </w:r>
          </w:p>
        </w:tc>
        <w:tc>
          <w:tcPr>
            <w:tcW w:w="3309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5B" w:rsidRPr="00B206C4" w:rsidRDefault="0025415B" w:rsidP="009429F0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B206C4">
              <w:rPr>
                <w:rFonts w:ascii="Calibri" w:hAnsi="Calibri" w:cs="Calibri"/>
                <w:b/>
                <w:bCs/>
                <w:szCs w:val="20"/>
              </w:rPr>
              <w:t>Program</w:t>
            </w:r>
          </w:p>
        </w:tc>
        <w:tc>
          <w:tcPr>
            <w:tcW w:w="1656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15B" w:rsidRPr="0027605C" w:rsidRDefault="0025415B" w:rsidP="009429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605C">
              <w:rPr>
                <w:rFonts w:ascii="Calibri" w:hAnsi="Calibri" w:cs="Calibri"/>
                <w:b/>
                <w:bCs/>
                <w:sz w:val="20"/>
                <w:szCs w:val="20"/>
              </w:rPr>
              <w:t>Kontenjan Talebi</w:t>
            </w:r>
          </w:p>
        </w:tc>
      </w:tr>
      <w:tr w:rsidR="0025415B" w:rsidRPr="0027605C" w:rsidTr="009429F0">
        <w:trPr>
          <w:trHeight w:val="184"/>
        </w:trPr>
        <w:tc>
          <w:tcPr>
            <w:tcW w:w="4188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dashSmallGap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Güz</w:t>
            </w:r>
          </w:p>
        </w:tc>
        <w:tc>
          <w:tcPr>
            <w:tcW w:w="854" w:type="dxa"/>
            <w:tcBorders>
              <w:top w:val="dashSmallGap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Bahar</w:t>
            </w: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Dış Ticaret Bölüm Başkanlığı</w:t>
            </w:r>
          </w:p>
        </w:tc>
        <w:tc>
          <w:tcPr>
            <w:tcW w:w="33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Dış Ticaret</w:t>
            </w:r>
          </w:p>
        </w:tc>
        <w:tc>
          <w:tcPr>
            <w:tcW w:w="80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Finans, Bankacılık Ve Sigortacılık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Bankacılık Ve Sigortacılık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Muhasebe Ve Vergi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Muhasebe Ve Vergi Uygulamaları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Otel, Lokanta Ve İkram Hizmetleri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Aşçılık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Turizm Ve Otel İşletmeciliği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Pazarlama Ve Reklamcılık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Halkla İlişkiler Ve Tanıtım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Pazarlama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Tasarım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Grafik Tasarımı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Yönetim Ve Organizasyon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İnsan Kaynakları Yönetimi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İşletme Yönetimi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Lojistik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Sağlık Kurumları İşletmeciliği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Bilgisayar Teknolojileri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Sağlık Bilgi Sistemleri Teknikerliği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Bilgi Güvenliği Teknolojisi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Bilgisayar Programcılığı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Elektrik Ve Enerji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Elektrik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Elektronik Ve Otomasyon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Biyomedikal Cihaz Teknolojisi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Elektronik Teknolojisi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Mekatronik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Görsel, İşitsel Teknikler Ve Medya Yapımcılığı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Fotoğrafçılık Ve Kameramanlık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Radyo Ve Televizyon Programcılığı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İnşaat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İnşaat Teknolojisi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Yapı Denetimi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Makine Ve Metal Teknolojileri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Makine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Mimarlık Ve Şehir Planlama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Harita Ve Kadastro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Mülkiyet Koruma Ve Güvenlik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İş Sağlığı Ve Güvenliği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Tekstil, Giyim, Ayakkabı Ve Deri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Tekstil Teknolojisi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Tıbbi Hizmetler Ve Teknikler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Optisyenlik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Ulaştırma Hizmetleri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Ulaştırma Ve Trafik Hizmetleri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Mimarlık Ve Şehir Planlama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Harita Ve Kadastro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Sağlık Bakım Hizmetleri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Evde Hasta Bakımı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Terapi Ve Rehabilitasyon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Engelli Bakımı Ve Rehabilitasyon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Seyahat, Turizm Ve Eğlence Hizmetleri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Turist Rehberliği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Büro Hizmetleri Ve Sekreterlik Bölüm Başkanlığı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Büro Yönetimi Ve Yönetici Asistanlığı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Gıda İşleme Bölüm Başkanlığı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Gıda Kalite Kontrolü Ve Analizi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5415B" w:rsidRPr="0027605C" w:rsidRDefault="0025415B" w:rsidP="0025415B">
      <w:pPr>
        <w:rPr>
          <w:rFonts w:asciiTheme="majorBidi" w:hAnsiTheme="majorBidi" w:cstheme="majorBidi"/>
          <w:sz w:val="16"/>
          <w:szCs w:val="16"/>
        </w:rPr>
      </w:pPr>
    </w:p>
    <w:p w:rsidR="006861FF" w:rsidRPr="0025415B" w:rsidRDefault="006861FF" w:rsidP="0025415B"/>
    <w:sectPr w:rsidR="006861FF" w:rsidRPr="0025415B" w:rsidSect="00DB4DF2">
      <w:headerReference w:type="default" r:id="rId8"/>
      <w:pgSz w:w="11906" w:h="16838"/>
      <w:pgMar w:top="715" w:right="1417" w:bottom="567" w:left="1417" w:header="426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CC" w:rsidRDefault="00CC16CC">
      <w:r>
        <w:separator/>
      </w:r>
    </w:p>
  </w:endnote>
  <w:endnote w:type="continuationSeparator" w:id="0">
    <w:p w:rsidR="00CC16CC" w:rsidRDefault="00CC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CC" w:rsidRDefault="00CC16CC">
      <w:r>
        <w:separator/>
      </w:r>
    </w:p>
  </w:footnote>
  <w:footnote w:type="continuationSeparator" w:id="0">
    <w:p w:rsidR="00CC16CC" w:rsidRDefault="00CC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Y="-570"/>
      <w:tblW w:w="5000" w:type="pct"/>
      <w:tblLook w:val="04A0" w:firstRow="1" w:lastRow="0" w:firstColumn="1" w:lastColumn="0" w:noHBand="0" w:noVBand="1"/>
    </w:tblPr>
    <w:tblGrid>
      <w:gridCol w:w="1735"/>
      <w:gridCol w:w="5572"/>
      <w:gridCol w:w="1765"/>
    </w:tblGrid>
    <w:tr w:rsidR="00327718" w:rsidRPr="006154ED" w:rsidTr="00DB4DF2">
      <w:tc>
        <w:tcPr>
          <w:tcW w:w="956" w:type="pct"/>
          <w:shd w:val="clear" w:color="auto" w:fill="auto"/>
          <w:vAlign w:val="center"/>
        </w:tcPr>
        <w:p w:rsidR="00A50775" w:rsidRPr="006154ED" w:rsidRDefault="006F03EC" w:rsidP="00DB4DF2">
          <w:pPr>
            <w:jc w:val="center"/>
          </w:pPr>
          <w:r>
            <w:rPr>
              <w:noProof/>
            </w:rPr>
            <w:drawing>
              <wp:inline distT="0" distB="0" distL="0" distR="0" wp14:anchorId="42E053EB" wp14:editId="33002B19">
                <wp:extent cx="673100" cy="7100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parta yeni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843" cy="728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pct"/>
          <w:shd w:val="clear" w:color="auto" w:fill="auto"/>
          <w:vAlign w:val="center"/>
        </w:tcPr>
        <w:p w:rsidR="00A50775" w:rsidRPr="006154ED" w:rsidRDefault="006F03EC" w:rsidP="00A50775">
          <w:pPr>
            <w:jc w:val="center"/>
            <w:rPr>
              <w:b/>
              <w:szCs w:val="18"/>
            </w:rPr>
          </w:pPr>
          <w:r w:rsidRPr="006154ED">
            <w:rPr>
              <w:b/>
              <w:szCs w:val="18"/>
            </w:rPr>
            <w:t>T.C.</w:t>
          </w:r>
        </w:p>
        <w:p w:rsidR="00A50775" w:rsidRPr="00DB4DF2" w:rsidRDefault="006F03EC" w:rsidP="00A50775">
          <w:pPr>
            <w:jc w:val="center"/>
            <w:rPr>
              <w:b/>
              <w:sz w:val="23"/>
              <w:szCs w:val="23"/>
            </w:rPr>
          </w:pPr>
          <w:r w:rsidRPr="00DB4DF2">
            <w:rPr>
              <w:b/>
              <w:sz w:val="22"/>
              <w:szCs w:val="22"/>
            </w:rPr>
            <w:t>ISPARTA UYGULAMALI BİLİMLER ÜNİVERSİTESİ</w:t>
          </w:r>
        </w:p>
        <w:p w:rsidR="00DB4DF2" w:rsidRPr="00A50775" w:rsidRDefault="00CC16CC" w:rsidP="00EA1034">
          <w:pPr>
            <w:jc w:val="center"/>
            <w:rPr>
              <w:b/>
              <w:szCs w:val="18"/>
            </w:rPr>
          </w:pPr>
        </w:p>
      </w:tc>
      <w:tc>
        <w:tcPr>
          <w:tcW w:w="974" w:type="pct"/>
          <w:shd w:val="clear" w:color="auto" w:fill="auto"/>
          <w:vAlign w:val="center"/>
        </w:tcPr>
        <w:p w:rsidR="00A50775" w:rsidRPr="006154ED" w:rsidRDefault="00CC16CC" w:rsidP="00A50775">
          <w:pPr>
            <w:jc w:val="center"/>
          </w:pPr>
        </w:p>
      </w:tc>
    </w:tr>
  </w:tbl>
  <w:p w:rsidR="00A50775" w:rsidRDefault="00CC16CC" w:rsidP="00A5077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978AB"/>
    <w:multiLevelType w:val="hybridMultilevel"/>
    <w:tmpl w:val="0D7E10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3E2AE7"/>
    <w:multiLevelType w:val="hybridMultilevel"/>
    <w:tmpl w:val="40F8D426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A7"/>
    <w:rsid w:val="001F1B74"/>
    <w:rsid w:val="0025415B"/>
    <w:rsid w:val="006861FF"/>
    <w:rsid w:val="006F03EC"/>
    <w:rsid w:val="008126A7"/>
    <w:rsid w:val="008F076B"/>
    <w:rsid w:val="00AE0D52"/>
    <w:rsid w:val="00CC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A561"/>
  <w15:chartTrackingRefBased/>
  <w15:docId w15:val="{41BE2E8A-2414-42A8-AF26-6E1A56D5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03EC"/>
    <w:pPr>
      <w:ind w:left="708"/>
    </w:pPr>
  </w:style>
  <w:style w:type="paragraph" w:styleId="stBilgi">
    <w:name w:val="header"/>
    <w:basedOn w:val="Normal"/>
    <w:link w:val="stBilgiChar"/>
    <w:uiPriority w:val="99"/>
    <w:unhideWhenUsed/>
    <w:rsid w:val="006F03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F03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ABB4C-2C4D-48FB-BF1A-45993F7A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1245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muratince</cp:lastModifiedBy>
  <cp:revision>7</cp:revision>
  <dcterms:created xsi:type="dcterms:W3CDTF">2019-12-10T07:57:00Z</dcterms:created>
  <dcterms:modified xsi:type="dcterms:W3CDTF">2021-11-08T12:51:00Z</dcterms:modified>
</cp:coreProperties>
</file>